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2736D05D"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r w:rsidR="00D435F6">
        <w:rPr>
          <w:rStyle w:val="MerkChar"/>
          <w:sz w:val="28"/>
          <w:szCs w:val="28"/>
          <w:lang w:val="fr-BE"/>
        </w:rPr>
        <w:t>Stuc</w:t>
      </w:r>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12D8B443" w14:textId="604E0BC6" w:rsidR="00D435F6" w:rsidRPr="00D435F6" w:rsidRDefault="009E7F6A" w:rsidP="00D435F6">
      <w:pPr>
        <w:pStyle w:val="Bestektekst"/>
        <w:rPr>
          <w:rStyle w:val="tlid-translation"/>
        </w:rPr>
      </w:pPr>
      <w:r w:rsidRPr="00D435F6">
        <w:rPr>
          <w:rStyle w:val="tlid-translation"/>
        </w:rPr>
        <w:t xml:space="preserve">La plaque de plâtre </w:t>
      </w:r>
      <w:r w:rsidR="00D435F6" w:rsidRPr="00D435F6">
        <w:rPr>
          <w:rStyle w:val="MerkChar"/>
        </w:rPr>
        <w:t xml:space="preserve">Stuc </w:t>
      </w:r>
      <w:r w:rsidRPr="00D435F6">
        <w:rPr>
          <w:rStyle w:val="tlid-translation"/>
        </w:rPr>
        <w:t xml:space="preserve">est </w:t>
      </w:r>
      <w:r w:rsidR="00D435F6" w:rsidRPr="00D435F6">
        <w:rPr>
          <w:rStyle w:val="tlid-translation"/>
        </w:rPr>
        <w:t>idéale comme support pour les travaux de plafonnage grâce à ses bords ronds (BR), sa couche de carton adhésif et son format pratique.</w:t>
      </w:r>
    </w:p>
    <w:p w14:paraId="673E43D4" w14:textId="77777777" w:rsidR="00D435F6" w:rsidRDefault="00D435F6" w:rsidP="00D435F6">
      <w:pPr>
        <w:pStyle w:val="Bestektekst"/>
        <w:rPr>
          <w:rStyle w:val="tlid-translation"/>
        </w:rPr>
      </w:pPr>
    </w:p>
    <w:p w14:paraId="3D03C7F9" w14:textId="1E881FF2" w:rsidR="000A094B" w:rsidRPr="00942D4A" w:rsidRDefault="000A094B" w:rsidP="00D435F6">
      <w:pPr>
        <w:pStyle w:val="Bestektekst"/>
        <w:rPr>
          <w:color w:val="FF0000"/>
          <w:sz w:val="24"/>
          <w:lang w:eastAsia="fr-BE"/>
        </w:rPr>
      </w:pPr>
      <w:r w:rsidRPr="00942D4A">
        <w:rPr>
          <w:color w:val="FF0000"/>
          <w:sz w:val="24"/>
          <w:lang w:eastAsia="fr-BE"/>
        </w:rPr>
        <w:t>MATÉRIAUX</w:t>
      </w:r>
    </w:p>
    <w:p w14:paraId="77418165" w14:textId="77777777" w:rsidR="00D435F6" w:rsidRDefault="00D435F6" w:rsidP="00773F68">
      <w:pPr>
        <w:spacing w:before="100" w:after="100" w:line="260" w:lineRule="auto"/>
        <w:rPr>
          <w:rFonts w:eastAsia="Times New Roman" w:cs="Arial"/>
          <w:szCs w:val="20"/>
          <w:lang w:val="fr-BE" w:eastAsia="nl-BE"/>
        </w:rPr>
      </w:pPr>
      <w:r w:rsidRPr="00D435F6">
        <w:rPr>
          <w:rFonts w:eastAsia="Times New Roman" w:cs="Arial"/>
          <w:szCs w:val="20"/>
          <w:lang w:val="fr-BE" w:eastAsia="nl-BE"/>
        </w:rPr>
        <w:t xml:space="preserve">La plaque de plâtre </w:t>
      </w:r>
      <w:r w:rsidRPr="00D435F6">
        <w:rPr>
          <w:rStyle w:val="MerkChar"/>
          <w:lang w:val="fr-BE" w:eastAsia="nl-BE"/>
        </w:rPr>
        <w:t>Stuc</w:t>
      </w:r>
      <w:r w:rsidRPr="00D435F6">
        <w:rPr>
          <w:rFonts w:eastAsia="Times New Roman" w:cs="Arial"/>
          <w:szCs w:val="20"/>
          <w:lang w:val="fr-BE" w:eastAsia="nl-BE"/>
        </w:rPr>
        <w:t xml:space="preserve"> est composée d’un cœur en plâtre compris entre 2 parements cartonnés, avec des bords ronds.</w:t>
      </w:r>
      <w:r>
        <w:rPr>
          <w:rFonts w:eastAsia="Times New Roman" w:cs="Arial"/>
          <w:szCs w:val="20"/>
          <w:lang w:val="fr-BE" w:eastAsia="nl-BE"/>
        </w:rPr>
        <w:t xml:space="preserve">  </w:t>
      </w:r>
    </w:p>
    <w:p w14:paraId="2B2C89A7" w14:textId="47FAB012"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3C4FADC1" w:rsidR="000A094B" w:rsidRPr="00942D4A" w:rsidRDefault="000A094B" w:rsidP="000A094B">
      <w:pPr>
        <w:pStyle w:val="Bestektekst"/>
      </w:pPr>
      <w:r w:rsidRPr="00942D4A">
        <w:t xml:space="preserve">Type : Type </w:t>
      </w:r>
      <w:r w:rsidR="00D435F6">
        <w:t>P</w:t>
      </w:r>
      <w:r w:rsidRPr="00942D4A">
        <w:t xml:space="preserve"> </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57C98B9F" w:rsidR="000A094B" w:rsidRPr="00942D4A" w:rsidRDefault="000A094B" w:rsidP="003358BD">
      <w:pPr>
        <w:pStyle w:val="Bestektekst"/>
        <w:rPr>
          <w:rStyle w:val="OptionCar"/>
          <w:lang w:val="fr-BE"/>
        </w:rPr>
      </w:pPr>
      <w:r w:rsidRPr="00942D4A">
        <w:t xml:space="preserve">Epaisseur des plaques : </w:t>
      </w:r>
      <w:r w:rsidR="003E12F8" w:rsidRPr="003E12F8">
        <w:rPr>
          <w:rStyle w:val="OptionCar"/>
          <w:lang w:val="fr-BE"/>
        </w:rPr>
        <w:t>9,5 mm</w:t>
      </w:r>
    </w:p>
    <w:p w14:paraId="108A2FE4" w14:textId="2DBB3D43"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D435F6">
        <w:rPr>
          <w:rFonts w:eastAsia="Times New Roman" w:cs="Arial"/>
          <w:color w:val="FF0000"/>
          <w:szCs w:val="20"/>
          <w:lang w:val="fr-BE" w:eastAsia="fr-BE"/>
        </w:rPr>
        <w:t xml:space="preserve">400 / </w:t>
      </w:r>
      <w:r w:rsidRPr="00942D4A">
        <w:rPr>
          <w:rStyle w:val="OptionCar"/>
          <w:lang w:val="fr-BE"/>
        </w:rPr>
        <w:t>600</w:t>
      </w:r>
      <w:r w:rsidR="003E12F8">
        <w:rPr>
          <w:rStyle w:val="OptionCar"/>
          <w:lang w:val="fr-BE"/>
        </w:rPr>
        <w:t xml:space="preserve"> </w:t>
      </w:r>
      <w:r w:rsidR="003358BD" w:rsidRPr="00942D4A">
        <w:rPr>
          <w:rStyle w:val="OptionCar"/>
          <w:lang w:val="fr-BE"/>
        </w:rPr>
        <w:t>mm</w:t>
      </w:r>
    </w:p>
    <w:p w14:paraId="205BF1FB" w14:textId="0DF10A71"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3E12F8" w:rsidRPr="003E12F8">
        <w:rPr>
          <w:rStyle w:val="OptionCar"/>
          <w:lang w:val="fr-BE"/>
        </w:rPr>
        <w:t>2000 mm</w:t>
      </w:r>
    </w:p>
    <w:p w14:paraId="0ED75223" w14:textId="1E30C03C"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00D435F6">
        <w:rPr>
          <w:rStyle w:val="OptionCar"/>
          <w:lang w:val="fr-BE"/>
        </w:rPr>
        <w:t>rond</w:t>
      </w:r>
      <w:r w:rsidR="00A270D6" w:rsidRPr="00942D4A">
        <w:rPr>
          <w:rStyle w:val="OptionCar"/>
          <w:lang w:val="fr-BE"/>
        </w:rPr>
        <w:t xml:space="preserve"> (B</w:t>
      </w:r>
      <w:r w:rsidR="00D435F6">
        <w:rPr>
          <w:rStyle w:val="OptionCar"/>
          <w:lang w:val="fr-BE"/>
        </w:rPr>
        <w:t>R</w:t>
      </w:r>
      <w:r w:rsidR="00A270D6" w:rsidRPr="00942D4A">
        <w:rPr>
          <w:rStyle w:val="OptionCar"/>
          <w:lang w:val="fr-BE"/>
        </w:rPr>
        <w:t>)</w:t>
      </w:r>
    </w:p>
    <w:p w14:paraId="0E558DB3" w14:textId="6EA663D2"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007F1E29" w:rsidRPr="007F1E29">
        <w:rPr>
          <w:rStyle w:val="OptieChar"/>
          <w:rFonts w:eastAsiaTheme="minorHAnsi"/>
          <w:lang w:val="fr-BE"/>
        </w:rPr>
        <w:t>droit (BD)</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77777777"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p>
    <w:p w14:paraId="2091968F" w14:textId="77777777"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p>
    <w:p w14:paraId="708A0395" w14:textId="7EA3F327"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Pr="00942D4A">
        <w:rPr>
          <w:rStyle w:val="OptionCar"/>
          <w:lang w:val="fr-BE"/>
        </w:rPr>
        <w:t>7,</w:t>
      </w:r>
      <w:r w:rsidR="00D435F6">
        <w:rPr>
          <w:rStyle w:val="OptionCar"/>
          <w:lang w:val="fr-BE"/>
        </w:rPr>
        <w:t>4</w:t>
      </w:r>
      <w:r w:rsidR="007D4EFC" w:rsidRPr="007D4EFC">
        <w:rPr>
          <w:rStyle w:val="OptionCar"/>
          <w:lang w:val="fr-BE"/>
        </w:rPr>
        <w:t xml:space="preserve"> kg/m²</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691ECA9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6C180E">
        <w:rPr>
          <w:rFonts w:eastAsia="Times New Roman" w:cs="Arial"/>
          <w:szCs w:val="20"/>
          <w:lang w:val="fr-BE" w:eastAsia="fr-BE"/>
        </w:rPr>
        <w:t>beige</w:t>
      </w:r>
      <w:r w:rsidRPr="00942D4A">
        <w:rPr>
          <w:rFonts w:eastAsia="Times New Roman" w:cs="Arial"/>
          <w:szCs w:val="20"/>
          <w:lang w:val="fr-BE" w:eastAsia="fr-BE"/>
        </w:rPr>
        <w:t xml:space="preserve"> sur la face avant; gris</w:t>
      </w:r>
      <w:r w:rsidR="006C180E">
        <w:rPr>
          <w:rFonts w:eastAsia="Times New Roman" w:cs="Arial"/>
          <w:szCs w:val="20"/>
          <w:lang w:val="fr-BE" w:eastAsia="fr-BE"/>
        </w:rPr>
        <w:t>e</w:t>
      </w:r>
      <w:r w:rsidRPr="00942D4A">
        <w:rPr>
          <w:rFonts w:eastAsia="Times New Roman" w:cs="Arial"/>
          <w:szCs w:val="20"/>
          <w:lang w:val="fr-BE" w:eastAsia="fr-BE"/>
        </w:rPr>
        <w:t xml:space="preserve"> sur la face dos.</w:t>
      </w:r>
    </w:p>
    <w:p w14:paraId="105D6BF0" w14:textId="04118AB8" w:rsidR="00E03311" w:rsidRPr="00942D4A" w:rsidRDefault="007D4EFC" w:rsidP="00E03311">
      <w:pPr>
        <w:pStyle w:val="Lijstalinea"/>
        <w:numPr>
          <w:ilvl w:val="0"/>
          <w:numId w:val="16"/>
        </w:numPr>
        <w:spacing w:before="100" w:after="100" w:line="260" w:lineRule="auto"/>
        <w:rPr>
          <w:rFonts w:eastAsia="Times New Roman" w:cs="Arial"/>
          <w:szCs w:val="20"/>
          <w:lang w:val="fr-BE" w:eastAsia="fr-BE"/>
        </w:rPr>
      </w:pPr>
      <w:r w:rsidRPr="007D4EFC">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w:t>
      </w:r>
      <w:r w:rsidRPr="00942D4A">
        <w:rPr>
          <w:rFonts w:eastAsia="Times New Roman" w:cs="Arial"/>
          <w:szCs w:val="20"/>
          <w:lang w:val="fr-BE" w:eastAsia="fr-BE"/>
        </w:rPr>
        <w:lastRenderedPageBreak/>
        <w:t xml:space="preserve">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66FBB304"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ISO14001.</w:t>
      </w:r>
    </w:p>
    <w:p w14:paraId="49F82769" w14:textId="2F3442F9" w:rsidR="00E03311" w:rsidRPr="00942D4A" w:rsidRDefault="00E03311" w:rsidP="008B43DB">
      <w:pPr>
        <w:pStyle w:val="Lijstalinea"/>
        <w:spacing w:before="100" w:after="100" w:line="260" w:lineRule="auto"/>
        <w:rPr>
          <w:rFonts w:eastAsia="Times New Roman" w:cs="Arial"/>
          <w:szCs w:val="20"/>
          <w:lang w:val="fr-BE" w:eastAsia="fr-BE"/>
        </w:rPr>
      </w:pPr>
    </w:p>
    <w:p w14:paraId="7BE91DBF" w14:textId="06B092C2" w:rsidR="000A094B"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techniques</w:t>
      </w:r>
      <w:r w:rsidR="007F1E29">
        <w:rPr>
          <w:rFonts w:eastAsia="Times New Roman" w:cs="Arial"/>
          <w:szCs w:val="20"/>
          <w:u w:val="single"/>
          <w:lang w:val="fr-BE" w:eastAsia="fr-BE"/>
        </w:rPr>
        <w:tab/>
      </w:r>
    </w:p>
    <w:p w14:paraId="3EFAD38D" w14:textId="37928F1B" w:rsidR="007F1E29" w:rsidRDefault="007F1E29" w:rsidP="007F1E29">
      <w:pPr>
        <w:tabs>
          <w:tab w:val="left" w:pos="2910"/>
        </w:tabs>
        <w:rPr>
          <w:rFonts w:eastAsia="Times New Roman" w:cs="Arial"/>
          <w:szCs w:val="20"/>
          <w:u w:val="single"/>
          <w:lang w:val="fr-BE" w:eastAsia="fr-BE"/>
        </w:rPr>
      </w:pPr>
    </w:p>
    <w:tbl>
      <w:tblPr>
        <w:tblStyle w:val="Tabelraster"/>
        <w:tblW w:w="8783" w:type="dxa"/>
        <w:tblInd w:w="993" w:type="dxa"/>
        <w:tblLook w:val="04A0" w:firstRow="1" w:lastRow="0" w:firstColumn="1" w:lastColumn="0" w:noHBand="0" w:noVBand="1"/>
      </w:tblPr>
      <w:tblGrid>
        <w:gridCol w:w="3822"/>
        <w:gridCol w:w="4961"/>
      </w:tblGrid>
      <w:tr w:rsidR="007F1E29" w:rsidRPr="00B8528D" w14:paraId="2210FF84" w14:textId="77777777" w:rsidTr="004C0ED9">
        <w:trPr>
          <w:trHeight w:val="300"/>
        </w:trPr>
        <w:tc>
          <w:tcPr>
            <w:tcW w:w="3822" w:type="dxa"/>
            <w:vMerge w:val="restart"/>
          </w:tcPr>
          <w:p w14:paraId="7F06B3E0" w14:textId="77777777" w:rsidR="007F1E29" w:rsidRDefault="007F1E29" w:rsidP="004C0ED9">
            <w:pPr>
              <w:pStyle w:val="Tabel"/>
            </w:pPr>
          </w:p>
        </w:tc>
        <w:tc>
          <w:tcPr>
            <w:tcW w:w="4961" w:type="dxa"/>
          </w:tcPr>
          <w:p w14:paraId="3F2FA670" w14:textId="1A30FC68" w:rsidR="007F1E29" w:rsidRDefault="007F1E29" w:rsidP="004C0ED9">
            <w:pPr>
              <w:pStyle w:val="Tabel"/>
              <w:jc w:val="center"/>
            </w:pPr>
            <w:proofErr w:type="spellStart"/>
            <w:r w:rsidRPr="007F1E29">
              <w:t>épaisseur</w:t>
            </w:r>
            <w:proofErr w:type="spellEnd"/>
          </w:p>
        </w:tc>
      </w:tr>
      <w:tr w:rsidR="00D435F6" w:rsidRPr="00B8528D" w14:paraId="5D569DAA" w14:textId="77777777" w:rsidTr="0013016D">
        <w:trPr>
          <w:trHeight w:val="300"/>
        </w:trPr>
        <w:tc>
          <w:tcPr>
            <w:tcW w:w="3822" w:type="dxa"/>
            <w:vMerge/>
          </w:tcPr>
          <w:p w14:paraId="012722DB" w14:textId="77777777" w:rsidR="00D435F6" w:rsidRDefault="00D435F6" w:rsidP="004C0ED9">
            <w:pPr>
              <w:pStyle w:val="Tabel"/>
            </w:pPr>
          </w:p>
        </w:tc>
        <w:tc>
          <w:tcPr>
            <w:tcW w:w="4961" w:type="dxa"/>
          </w:tcPr>
          <w:p w14:paraId="2C0BD77D" w14:textId="680814E6" w:rsidR="00D435F6" w:rsidRPr="00F605E2" w:rsidRDefault="00D435F6" w:rsidP="004C0ED9">
            <w:pPr>
              <w:pStyle w:val="Tabel"/>
              <w:jc w:val="center"/>
            </w:pPr>
            <w:r>
              <w:t>9,5 mm</w:t>
            </w:r>
          </w:p>
        </w:tc>
      </w:tr>
      <w:tr w:rsidR="007F1E29" w:rsidRPr="00B8528D" w14:paraId="7562FA90"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5EEB78FE" w14:textId="2FE03976" w:rsidR="007F1E29" w:rsidRPr="006748DE" w:rsidRDefault="007F1E29" w:rsidP="004C0ED9">
            <w:pPr>
              <w:pStyle w:val="Tabel"/>
            </w:pPr>
            <w:proofErr w:type="spellStart"/>
            <w:r w:rsidRPr="007F1E29">
              <w:t>Conductivité</w:t>
            </w:r>
            <w:proofErr w:type="spellEnd"/>
            <w:r w:rsidRPr="007F1E29">
              <w:t xml:space="preserve"> </w:t>
            </w:r>
            <w:proofErr w:type="spellStart"/>
            <w:r w:rsidRPr="007F1E29">
              <w:t>thermique</w:t>
            </w:r>
            <w:proofErr w:type="spellEnd"/>
            <w:r w:rsidRPr="00E70E62">
              <w:t>, λ:</w:t>
            </w:r>
          </w:p>
        </w:tc>
        <w:tc>
          <w:tcPr>
            <w:tcW w:w="4961" w:type="dxa"/>
            <w:tcBorders>
              <w:top w:val="single" w:sz="4" w:space="0" w:color="auto"/>
              <w:left w:val="single" w:sz="4" w:space="0" w:color="auto"/>
              <w:bottom w:val="single" w:sz="4" w:space="0" w:color="auto"/>
              <w:right w:val="single" w:sz="4" w:space="0" w:color="auto"/>
            </w:tcBorders>
          </w:tcPr>
          <w:p w14:paraId="0A8D9A3E" w14:textId="34029B05" w:rsidR="007F1E29" w:rsidRPr="006748DE" w:rsidRDefault="007F1E29" w:rsidP="004C0ED9">
            <w:pPr>
              <w:pStyle w:val="Tabel"/>
              <w:jc w:val="center"/>
            </w:pPr>
            <w:r w:rsidRPr="00E70E62">
              <w:t>0,2</w:t>
            </w:r>
            <w:r w:rsidR="006C180E">
              <w:t>1</w:t>
            </w:r>
            <w:bookmarkStart w:id="0" w:name="_GoBack"/>
            <w:bookmarkEnd w:id="0"/>
            <w:r w:rsidRPr="00E70E62">
              <w:t xml:space="preserve"> W/</w:t>
            </w:r>
            <w:proofErr w:type="spellStart"/>
            <w:r w:rsidRPr="00E70E62">
              <w:t>mK</w:t>
            </w:r>
            <w:proofErr w:type="spellEnd"/>
          </w:p>
        </w:tc>
      </w:tr>
      <w:tr w:rsidR="007F1E29" w:rsidRPr="00B8528D" w14:paraId="0DA6F824"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71334F6F" w14:textId="60979266" w:rsidR="007F1E29" w:rsidRPr="00E70E62" w:rsidRDefault="007F1E29" w:rsidP="004C0ED9">
            <w:pPr>
              <w:pStyle w:val="Tabel"/>
            </w:pPr>
            <w:proofErr w:type="spellStart"/>
            <w:r w:rsidRPr="007F1E29">
              <w:t>Dilatation</w:t>
            </w:r>
            <w:proofErr w:type="spellEnd"/>
            <w:r w:rsidRPr="007F1E29">
              <w:t xml:space="preserve"> </w:t>
            </w:r>
            <w:proofErr w:type="spellStart"/>
            <w:r w:rsidRPr="007F1E29">
              <w:t>thermique</w:t>
            </w:r>
            <w:proofErr w:type="spellEnd"/>
            <w:r w:rsidRPr="007F1E29">
              <w:t xml:space="preserve"> (à 50-60% HR):</w:t>
            </w:r>
          </w:p>
        </w:tc>
        <w:tc>
          <w:tcPr>
            <w:tcW w:w="4961" w:type="dxa"/>
            <w:tcBorders>
              <w:top w:val="single" w:sz="4" w:space="0" w:color="auto"/>
              <w:left w:val="single" w:sz="4" w:space="0" w:color="auto"/>
              <w:bottom w:val="single" w:sz="4" w:space="0" w:color="auto"/>
              <w:right w:val="single" w:sz="4" w:space="0" w:color="auto"/>
            </w:tcBorders>
          </w:tcPr>
          <w:p w14:paraId="587B4F88" w14:textId="77777777" w:rsidR="007F1E29" w:rsidRPr="00E70E62" w:rsidRDefault="007F1E29" w:rsidP="004C0ED9">
            <w:pPr>
              <w:pStyle w:val="Tabel"/>
              <w:jc w:val="center"/>
            </w:pPr>
            <w:r w:rsidRPr="00FA15B0">
              <w:t>0,013 – 0,020</w:t>
            </w:r>
            <w:r w:rsidRPr="009D277B">
              <w:t xml:space="preserve"> mm/</w:t>
            </w:r>
            <w:proofErr w:type="spellStart"/>
            <w:r w:rsidRPr="009D277B">
              <w:t>mK</w:t>
            </w:r>
            <w:proofErr w:type="spellEnd"/>
          </w:p>
        </w:tc>
      </w:tr>
      <w:tr w:rsidR="007F1E29" w:rsidRPr="00B8528D" w14:paraId="09D77599"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598A277C" w14:textId="6058483C" w:rsidR="007F1E29" w:rsidRPr="007F1E29" w:rsidRDefault="007F1E29" w:rsidP="007F1E29">
            <w:pPr>
              <w:pStyle w:val="Tabel"/>
              <w:rPr>
                <w:lang w:val="fr-BE"/>
              </w:rPr>
            </w:pPr>
            <w:r w:rsidRPr="00942D4A">
              <w:rPr>
                <w:lang w:val="fr-BE"/>
              </w:rPr>
              <w:t xml:space="preserve">Chaleur spécifique </w:t>
            </w:r>
            <w:r w:rsidRPr="008B5762">
              <w:rPr>
                <w:lang w:val="fr-BE"/>
              </w:rPr>
              <w:t>(</w:t>
            </w:r>
            <w:r w:rsidRPr="00942D4A">
              <w:rPr>
                <w:lang w:val="fr-BE"/>
              </w:rPr>
              <w:t>à</w:t>
            </w:r>
            <w:r w:rsidRPr="008B5762">
              <w:rPr>
                <w:lang w:val="fr-BE"/>
              </w:rPr>
              <w:t xml:space="preserve"> 20°C), c:</w:t>
            </w:r>
          </w:p>
        </w:tc>
        <w:tc>
          <w:tcPr>
            <w:tcW w:w="4961" w:type="dxa"/>
            <w:tcBorders>
              <w:top w:val="single" w:sz="4" w:space="0" w:color="auto"/>
              <w:left w:val="single" w:sz="4" w:space="0" w:color="auto"/>
              <w:bottom w:val="single" w:sz="4" w:space="0" w:color="auto"/>
              <w:right w:val="single" w:sz="4" w:space="0" w:color="auto"/>
            </w:tcBorders>
          </w:tcPr>
          <w:p w14:paraId="2419B8E9" w14:textId="77777777" w:rsidR="007F1E29" w:rsidRPr="00E70E62" w:rsidRDefault="007F1E29" w:rsidP="007F1E29">
            <w:pPr>
              <w:pStyle w:val="Tabel"/>
              <w:jc w:val="center"/>
            </w:pPr>
            <w:r w:rsidRPr="000859FE">
              <w:t>0,96 kJ/</w:t>
            </w:r>
            <w:proofErr w:type="spellStart"/>
            <w:r w:rsidRPr="000859FE">
              <w:t>kgK</w:t>
            </w:r>
            <w:proofErr w:type="spellEnd"/>
          </w:p>
        </w:tc>
      </w:tr>
      <w:tr w:rsidR="007F1E29" w:rsidRPr="00B8528D" w14:paraId="142190CA" w14:textId="77777777" w:rsidTr="004C0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3822" w:type="dxa"/>
            <w:tcBorders>
              <w:top w:val="single" w:sz="4" w:space="0" w:color="auto"/>
              <w:left w:val="single" w:sz="4" w:space="0" w:color="auto"/>
              <w:bottom w:val="single" w:sz="4" w:space="0" w:color="auto"/>
              <w:right w:val="single" w:sz="4" w:space="0" w:color="auto"/>
            </w:tcBorders>
          </w:tcPr>
          <w:p w14:paraId="29C735D7" w14:textId="2F5434B7" w:rsidR="007F1E29" w:rsidRPr="007F1E29" w:rsidRDefault="007F1E29" w:rsidP="007F1E29">
            <w:pPr>
              <w:pStyle w:val="Tabel"/>
              <w:rPr>
                <w:lang w:val="fr-BE"/>
              </w:rPr>
            </w:pPr>
            <w:r w:rsidRPr="007F1E29">
              <w:rPr>
                <w:lang w:val="fr-BE"/>
              </w:rPr>
              <w:t>Diffusion de la vapeur, µ</w:t>
            </w:r>
          </w:p>
        </w:tc>
        <w:tc>
          <w:tcPr>
            <w:tcW w:w="4961" w:type="dxa"/>
            <w:tcBorders>
              <w:top w:val="single" w:sz="4" w:space="0" w:color="auto"/>
              <w:left w:val="single" w:sz="4" w:space="0" w:color="auto"/>
              <w:bottom w:val="single" w:sz="4" w:space="0" w:color="auto"/>
              <w:right w:val="single" w:sz="4" w:space="0" w:color="auto"/>
            </w:tcBorders>
          </w:tcPr>
          <w:p w14:paraId="5A6948FA" w14:textId="77777777" w:rsidR="007F1E29" w:rsidRPr="00450D68" w:rsidRDefault="007F1E29" w:rsidP="007F1E29">
            <w:pPr>
              <w:pStyle w:val="Tabel"/>
              <w:jc w:val="center"/>
            </w:pPr>
            <w:r>
              <w:t>10</w:t>
            </w:r>
          </w:p>
        </w:tc>
      </w:tr>
      <w:tr w:rsidR="00D435F6" w:rsidRPr="00B8528D" w14:paraId="353D145E" w14:textId="77777777" w:rsidTr="00817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2" w:type="dxa"/>
            <w:tcBorders>
              <w:top w:val="single" w:sz="4" w:space="0" w:color="auto"/>
              <w:left w:val="single" w:sz="4" w:space="0" w:color="auto"/>
              <w:bottom w:val="single" w:sz="4" w:space="0" w:color="auto"/>
              <w:right w:val="single" w:sz="4" w:space="0" w:color="auto"/>
            </w:tcBorders>
          </w:tcPr>
          <w:p w14:paraId="342CAA6C" w14:textId="77777777" w:rsidR="00D435F6" w:rsidRPr="006E0E99" w:rsidRDefault="00D435F6" w:rsidP="00D435F6">
            <w:pPr>
              <w:pStyle w:val="Tabel"/>
              <w:rPr>
                <w:lang w:val="fr-BE"/>
              </w:rPr>
            </w:pPr>
            <w:r w:rsidRPr="006E0E99">
              <w:rPr>
                <w:lang w:val="fr-BE"/>
              </w:rPr>
              <w:t>Résistance à la rupture</w:t>
            </w:r>
          </w:p>
          <w:p w14:paraId="3092B426" w14:textId="77777777" w:rsidR="00D435F6" w:rsidRPr="006E0E99" w:rsidRDefault="00D435F6" w:rsidP="00D435F6">
            <w:pPr>
              <w:pStyle w:val="Tabel"/>
              <w:rPr>
                <w:lang w:val="fr-BE"/>
              </w:rPr>
            </w:pPr>
            <w:r w:rsidRPr="006E0E99">
              <w:rPr>
                <w:lang w:val="fr-BE"/>
              </w:rPr>
              <w:tab/>
              <w:t>• Longitudinal</w:t>
            </w:r>
          </w:p>
          <w:p w14:paraId="66608031" w14:textId="0715D127" w:rsidR="00D435F6" w:rsidRPr="007F1E29" w:rsidRDefault="00D435F6" w:rsidP="00D435F6">
            <w:pPr>
              <w:pStyle w:val="Tabel"/>
              <w:ind w:left="708"/>
              <w:rPr>
                <w:lang w:val="fr-BE"/>
              </w:rPr>
            </w:pPr>
            <w:r w:rsidRPr="006E0E99">
              <w:rPr>
                <w:lang w:val="fr-BE"/>
              </w:rPr>
              <w:t>• Transversal</w:t>
            </w:r>
          </w:p>
        </w:tc>
        <w:tc>
          <w:tcPr>
            <w:tcW w:w="4961" w:type="dxa"/>
            <w:tcBorders>
              <w:top w:val="single" w:sz="4" w:space="0" w:color="auto"/>
              <w:left w:val="single" w:sz="4" w:space="0" w:color="auto"/>
              <w:bottom w:val="single" w:sz="4" w:space="0" w:color="auto"/>
              <w:right w:val="single" w:sz="4" w:space="0" w:color="auto"/>
            </w:tcBorders>
          </w:tcPr>
          <w:p w14:paraId="29682B66" w14:textId="77777777" w:rsidR="00D435F6" w:rsidRDefault="00D435F6" w:rsidP="00D435F6">
            <w:pPr>
              <w:pStyle w:val="Tabel"/>
              <w:jc w:val="center"/>
            </w:pPr>
            <w:r w:rsidRPr="00553B8C">
              <w:rPr>
                <w:lang w:val="fr-BE"/>
              </w:rPr>
              <w:br/>
            </w:r>
            <w:r>
              <w:t>&gt;180 N</w:t>
            </w:r>
          </w:p>
          <w:p w14:paraId="7D7CBBC9" w14:textId="1C55B36F" w:rsidR="00D435F6" w:rsidRDefault="00D435F6" w:rsidP="00D435F6">
            <w:pPr>
              <w:pStyle w:val="Tabel"/>
              <w:jc w:val="center"/>
            </w:pPr>
            <w:r>
              <w:t>&gt;125 N</w:t>
            </w:r>
          </w:p>
        </w:tc>
      </w:tr>
    </w:tbl>
    <w:p w14:paraId="0C88D235" w14:textId="0BF77427" w:rsidR="007F1E29" w:rsidRDefault="007F1E29" w:rsidP="007F1E29">
      <w:pPr>
        <w:tabs>
          <w:tab w:val="left" w:pos="2910"/>
        </w:tabs>
        <w:rPr>
          <w:rFonts w:eastAsia="Times New Roman" w:cs="Arial"/>
          <w:szCs w:val="20"/>
          <w:u w:val="single"/>
          <w:lang w:val="fr-BE" w:eastAsia="fr-BE"/>
        </w:rPr>
      </w:pPr>
    </w:p>
    <w:p w14:paraId="46606816" w14:textId="77777777" w:rsidR="00DD4406" w:rsidRPr="00DD4406" w:rsidRDefault="00DD4406" w:rsidP="00DD4406">
      <w:pPr>
        <w:spacing w:before="100" w:after="100" w:line="260" w:lineRule="auto"/>
        <w:rPr>
          <w:rFonts w:eastAsia="Times New Roman" w:cs="Arial"/>
          <w:color w:val="FF0000"/>
          <w:sz w:val="24"/>
          <w:szCs w:val="20"/>
          <w:lang w:val="fr-BE" w:eastAsia="fr-BE"/>
        </w:rPr>
      </w:pPr>
      <w:r w:rsidRPr="00DD4406">
        <w:rPr>
          <w:rFonts w:eastAsia="Times New Roman" w:cs="Arial"/>
          <w:color w:val="FF0000"/>
          <w:sz w:val="24"/>
          <w:szCs w:val="20"/>
          <w:lang w:val="fr-BE" w:eastAsia="fr-BE"/>
        </w:rPr>
        <w:t>EXÉCUTION / MISE EN ŒUVRE</w:t>
      </w:r>
    </w:p>
    <w:p w14:paraId="4E19B7F8" w14:textId="4BB380CE" w:rsidR="00942D4A" w:rsidRPr="00942D4A" w:rsidRDefault="00942D4A" w:rsidP="00B34C0E">
      <w:pPr>
        <w:rPr>
          <w:lang w:val="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0611" w14:textId="77777777" w:rsidR="00E26364" w:rsidRDefault="00E26364" w:rsidP="00106566">
      <w:r>
        <w:separator/>
      </w:r>
    </w:p>
  </w:endnote>
  <w:endnote w:type="continuationSeparator" w:id="0">
    <w:p w14:paraId="64B6C550" w14:textId="77777777" w:rsidR="00E26364" w:rsidRDefault="00E26364" w:rsidP="00106566">
      <w:r>
        <w:continuationSeparator/>
      </w:r>
    </w:p>
  </w:endnote>
  <w:endnote w:type="continuationNotice" w:id="1">
    <w:p w14:paraId="20E7FAB9" w14:textId="77777777" w:rsidR="00E26364" w:rsidRDefault="00E263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F9D3" w14:textId="77777777" w:rsidR="00553B8C" w:rsidRDefault="00553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10776880"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r w:rsidR="00D435F6">
      <w:rPr>
        <w:bCs/>
        <w:color w:val="7F7F7F" w:themeColor="text1" w:themeTint="80"/>
        <w:sz w:val="16"/>
        <w:szCs w:val="16"/>
      </w:rPr>
      <w:t>Stuc</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6C180E">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4921" w14:textId="77777777" w:rsidR="00553B8C" w:rsidRDefault="00553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275E" w14:textId="77777777" w:rsidR="00E26364" w:rsidRDefault="00E26364" w:rsidP="00106566">
      <w:r>
        <w:separator/>
      </w:r>
    </w:p>
  </w:footnote>
  <w:footnote w:type="continuationSeparator" w:id="0">
    <w:p w14:paraId="390D52E3" w14:textId="77777777" w:rsidR="00E26364" w:rsidRDefault="00E26364" w:rsidP="00106566">
      <w:r>
        <w:continuationSeparator/>
      </w:r>
    </w:p>
  </w:footnote>
  <w:footnote w:type="continuationNotice" w:id="1">
    <w:p w14:paraId="3B94923B" w14:textId="77777777" w:rsidR="00E26364" w:rsidRDefault="00E26364">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1C326363" w:rsidR="00E03311" w:rsidRPr="00E03311" w:rsidRDefault="00E03311" w:rsidP="00E03311">
      <w:pPr>
        <w:jc w:val="both"/>
        <w:rPr>
          <w:lang w:val="fr-BE"/>
        </w:rPr>
      </w:pPr>
      <w:r>
        <w:rPr>
          <w:rStyle w:val="Voetnootmarkering"/>
        </w:rPr>
        <w:footnoteRef/>
      </w:r>
      <w:r w:rsidRPr="00E03311">
        <w:rPr>
          <w:lang w:val="fr-BE"/>
        </w:rPr>
        <w:t xml:space="preserve"> </w:t>
      </w:r>
      <w:r w:rsidR="007632FE" w:rsidRPr="007632F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F2ED" w14:textId="77777777" w:rsidR="00553B8C" w:rsidRDefault="00553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230C" w14:textId="77777777" w:rsidR="00553B8C" w:rsidRDefault="00553B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5012" w14:textId="77777777" w:rsidR="00553B8C" w:rsidRDefault="00553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C7119"/>
    <w:rsid w:val="000D1B75"/>
    <w:rsid w:val="000F25C1"/>
    <w:rsid w:val="0010572C"/>
    <w:rsid w:val="00106566"/>
    <w:rsid w:val="00126F41"/>
    <w:rsid w:val="00137084"/>
    <w:rsid w:val="00174B08"/>
    <w:rsid w:val="001B03DE"/>
    <w:rsid w:val="001B12D5"/>
    <w:rsid w:val="001C5DEB"/>
    <w:rsid w:val="001D777B"/>
    <w:rsid w:val="001F7206"/>
    <w:rsid w:val="0021362C"/>
    <w:rsid w:val="00221A51"/>
    <w:rsid w:val="002439FC"/>
    <w:rsid w:val="00264A9C"/>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12F8"/>
    <w:rsid w:val="003E32D9"/>
    <w:rsid w:val="00401F36"/>
    <w:rsid w:val="004207A5"/>
    <w:rsid w:val="00440317"/>
    <w:rsid w:val="004610A9"/>
    <w:rsid w:val="004625A3"/>
    <w:rsid w:val="00471EDE"/>
    <w:rsid w:val="00487B16"/>
    <w:rsid w:val="0049024B"/>
    <w:rsid w:val="004A19A8"/>
    <w:rsid w:val="004A32F8"/>
    <w:rsid w:val="004C16BF"/>
    <w:rsid w:val="004C278B"/>
    <w:rsid w:val="004D6630"/>
    <w:rsid w:val="004E07D3"/>
    <w:rsid w:val="004E670C"/>
    <w:rsid w:val="004F4444"/>
    <w:rsid w:val="00502FE4"/>
    <w:rsid w:val="00503FFE"/>
    <w:rsid w:val="00506289"/>
    <w:rsid w:val="00514482"/>
    <w:rsid w:val="00514BE8"/>
    <w:rsid w:val="0054342C"/>
    <w:rsid w:val="00553B8C"/>
    <w:rsid w:val="00563314"/>
    <w:rsid w:val="00564251"/>
    <w:rsid w:val="005650E3"/>
    <w:rsid w:val="00566A6E"/>
    <w:rsid w:val="005B0A59"/>
    <w:rsid w:val="005B144C"/>
    <w:rsid w:val="005B1934"/>
    <w:rsid w:val="005C70FB"/>
    <w:rsid w:val="005D07CE"/>
    <w:rsid w:val="005E3B77"/>
    <w:rsid w:val="006263D3"/>
    <w:rsid w:val="00632C8A"/>
    <w:rsid w:val="00647B97"/>
    <w:rsid w:val="006574FF"/>
    <w:rsid w:val="00667C5E"/>
    <w:rsid w:val="006713DA"/>
    <w:rsid w:val="006754F1"/>
    <w:rsid w:val="00685862"/>
    <w:rsid w:val="006901C4"/>
    <w:rsid w:val="006A4F90"/>
    <w:rsid w:val="006C180E"/>
    <w:rsid w:val="006E0E99"/>
    <w:rsid w:val="00703BB2"/>
    <w:rsid w:val="00732DFB"/>
    <w:rsid w:val="00740820"/>
    <w:rsid w:val="0074082D"/>
    <w:rsid w:val="00743D85"/>
    <w:rsid w:val="00751DED"/>
    <w:rsid w:val="007565AC"/>
    <w:rsid w:val="007632FE"/>
    <w:rsid w:val="00766D6B"/>
    <w:rsid w:val="00773F68"/>
    <w:rsid w:val="0078262A"/>
    <w:rsid w:val="007A3FF4"/>
    <w:rsid w:val="007B29B7"/>
    <w:rsid w:val="007C10A8"/>
    <w:rsid w:val="007C13F6"/>
    <w:rsid w:val="007D4EFC"/>
    <w:rsid w:val="007E0183"/>
    <w:rsid w:val="007F1E29"/>
    <w:rsid w:val="00812183"/>
    <w:rsid w:val="00822A3A"/>
    <w:rsid w:val="00822C9A"/>
    <w:rsid w:val="00831C2D"/>
    <w:rsid w:val="00840702"/>
    <w:rsid w:val="00844330"/>
    <w:rsid w:val="0085269F"/>
    <w:rsid w:val="00857717"/>
    <w:rsid w:val="00882C48"/>
    <w:rsid w:val="00887285"/>
    <w:rsid w:val="00893016"/>
    <w:rsid w:val="008B43DB"/>
    <w:rsid w:val="008B5762"/>
    <w:rsid w:val="008C1775"/>
    <w:rsid w:val="008D7017"/>
    <w:rsid w:val="008E1E6A"/>
    <w:rsid w:val="009002D5"/>
    <w:rsid w:val="0090159C"/>
    <w:rsid w:val="0091403E"/>
    <w:rsid w:val="009233E8"/>
    <w:rsid w:val="009356CA"/>
    <w:rsid w:val="00936A57"/>
    <w:rsid w:val="00942D4A"/>
    <w:rsid w:val="00943039"/>
    <w:rsid w:val="009456C7"/>
    <w:rsid w:val="00946038"/>
    <w:rsid w:val="00957E38"/>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61269"/>
    <w:rsid w:val="00A75217"/>
    <w:rsid w:val="00AB3B0F"/>
    <w:rsid w:val="00AB68C5"/>
    <w:rsid w:val="00AC22C2"/>
    <w:rsid w:val="00AE7FB3"/>
    <w:rsid w:val="00AF79F0"/>
    <w:rsid w:val="00B01D93"/>
    <w:rsid w:val="00B10B16"/>
    <w:rsid w:val="00B34C0E"/>
    <w:rsid w:val="00B6024D"/>
    <w:rsid w:val="00B8076B"/>
    <w:rsid w:val="00B8387B"/>
    <w:rsid w:val="00B8528D"/>
    <w:rsid w:val="00BA2A02"/>
    <w:rsid w:val="00BB12E7"/>
    <w:rsid w:val="00BB760D"/>
    <w:rsid w:val="00BC1BC7"/>
    <w:rsid w:val="00BE0EA8"/>
    <w:rsid w:val="00BE1FF8"/>
    <w:rsid w:val="00BE2487"/>
    <w:rsid w:val="00BE6DC9"/>
    <w:rsid w:val="00C02C65"/>
    <w:rsid w:val="00C370C5"/>
    <w:rsid w:val="00C44148"/>
    <w:rsid w:val="00C46A64"/>
    <w:rsid w:val="00C578B7"/>
    <w:rsid w:val="00C57E86"/>
    <w:rsid w:val="00C60501"/>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435F6"/>
    <w:rsid w:val="00D55CAE"/>
    <w:rsid w:val="00D56D4B"/>
    <w:rsid w:val="00D739B4"/>
    <w:rsid w:val="00D764ED"/>
    <w:rsid w:val="00D8156C"/>
    <w:rsid w:val="00DB7D53"/>
    <w:rsid w:val="00DD4406"/>
    <w:rsid w:val="00DF3265"/>
    <w:rsid w:val="00E03311"/>
    <w:rsid w:val="00E1648B"/>
    <w:rsid w:val="00E26364"/>
    <w:rsid w:val="00E40267"/>
    <w:rsid w:val="00E4222C"/>
    <w:rsid w:val="00E538CF"/>
    <w:rsid w:val="00E53F17"/>
    <w:rsid w:val="00E54603"/>
    <w:rsid w:val="00E56333"/>
    <w:rsid w:val="00E66D16"/>
    <w:rsid w:val="00E74B8D"/>
    <w:rsid w:val="00EA2C19"/>
    <w:rsid w:val="00EB317C"/>
    <w:rsid w:val="00EC33EC"/>
    <w:rsid w:val="00EE0850"/>
    <w:rsid w:val="00EE468C"/>
    <w:rsid w:val="00EF7037"/>
    <w:rsid w:val="00F22AE1"/>
    <w:rsid w:val="00F24935"/>
    <w:rsid w:val="00F33E3C"/>
    <w:rsid w:val="00F34B44"/>
    <w:rsid w:val="00F4409F"/>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84916634-9CE6-4804-8E98-7DA4FCB807B0}">
  <ds:schemaRefs>
    <ds:schemaRef ds:uri="http://schemas.openxmlformats.org/officeDocument/2006/bibliography"/>
  </ds:schemaRefs>
</ds:datastoreItem>
</file>

<file path=customXml/itemProps2.xml><?xml version="1.0" encoding="utf-8"?>
<ds:datastoreItem xmlns:ds="http://schemas.openxmlformats.org/officeDocument/2006/customXml" ds:itemID="{F37675DB-5549-4B63-AE72-2540380297B0}"/>
</file>

<file path=customXml/itemProps3.xml><?xml version="1.0" encoding="utf-8"?>
<ds:datastoreItem xmlns:ds="http://schemas.openxmlformats.org/officeDocument/2006/customXml" ds:itemID="{BC3167DF-E15C-40EA-8002-FCBB7889D0F4}"/>
</file>

<file path=customXml/itemProps4.xml><?xml version="1.0" encoding="utf-8"?>
<ds:datastoreItem xmlns:ds="http://schemas.openxmlformats.org/officeDocument/2006/customXml" ds:itemID="{7C4F7EC3-BCDF-49D5-B700-222C58E2E929}"/>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2386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8</cp:revision>
  <dcterms:created xsi:type="dcterms:W3CDTF">2019-03-31T14:48:00Z</dcterms:created>
  <dcterms:modified xsi:type="dcterms:W3CDTF">2019-09-10T10:41:00Z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